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8DAE9" w14:textId="0561AC1A" w:rsidR="0090557E" w:rsidRPr="000234FF" w:rsidRDefault="000234FF" w:rsidP="000234FF">
      <w:pPr>
        <w:jc w:val="both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LAS Y LOS INTEGRANTES DEL CONSEJO DIRECTIVO DE LA UNIVERSIDAD TECNOLÓGICA DEL VALLE DEL MEZQUITAL, CON FUNDAMENTO EN LOS ARTÍCULOS 13 Y 14, FRACCIONES X Y XVII, DE LA LEY DE ENTIDADES PARAESTATALES DEL ESTADO DE HIDALGO; ARTÍCULO 8, FRACCIÓN XV, DEL DECRETO QUE MODIFICA AL DIVERSO QUE CREÓ A LA UNIVERSIDAD; Y NORMA 18 DEL ACUERDO QUE CONTIENE LAS NORMAS Y BASES PARA CANCELAR LOS ADEUDOS A CARGO DE TERCERAS PERSONAS Y A FAVOR DE LA UNIVERSIDAD TECNOLÓGICA DEL VALLE DEL MEZQUITAL, Y</w:t>
      </w:r>
    </w:p>
    <w:p w14:paraId="2DB30625" w14:textId="0FBEC0A5" w:rsidR="0090557E" w:rsidRPr="000234FF" w:rsidRDefault="000234FF" w:rsidP="000234FF">
      <w:pPr>
        <w:pStyle w:val="Ttulo1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C O N S I D E R A N D O</w:t>
      </w:r>
    </w:p>
    <w:p w14:paraId="47FF89B0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PRIMERO</w:t>
      </w:r>
      <w:r w:rsidRPr="000234FF">
        <w:rPr>
          <w:rFonts w:cs="Arial"/>
          <w:sz w:val="24"/>
          <w:szCs w:val="24"/>
          <w:lang w:val="es-MX"/>
        </w:rPr>
        <w:t>. Que corresponde al Consejo Directivo autorizar la creación de comités de apoyo institucional y aprobar las normas y bases para cancelar adeudos a cargo de terceros y a favor de la Universidad, en los términos de las disposiciones aplicables.</w:t>
      </w:r>
    </w:p>
    <w:p w14:paraId="31521362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SEGUNDO</w:t>
      </w:r>
      <w:r w:rsidRPr="000234FF">
        <w:rPr>
          <w:rFonts w:cs="Arial"/>
          <w:sz w:val="24"/>
          <w:szCs w:val="24"/>
          <w:lang w:val="es-MX"/>
        </w:rPr>
        <w:t>. Que la Norma 18 de las Normas y Bases permite establecer un Comité para auxiliar en el cumplimiento de su objeto, sin perjuicio de las responsabilidades y competencias de las áreas previstas en ese instrumento.</w:t>
      </w:r>
    </w:p>
    <w:p w14:paraId="34BE6667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TERCERO</w:t>
      </w:r>
      <w:r w:rsidRPr="000234FF">
        <w:rPr>
          <w:rFonts w:cs="Arial"/>
          <w:sz w:val="24"/>
          <w:szCs w:val="24"/>
          <w:lang w:val="es-MX"/>
        </w:rPr>
        <w:t>. Que la información contable debe reflejar razonablemente la situación financiera de la Universidad, con documentación justificativa y comprobatoria y con apego a la Ley General de Contabilidad Gubernamental y a las disposiciones vigentes del Consejo Nacional de Armonización Contable.</w:t>
      </w:r>
    </w:p>
    <w:p w14:paraId="076B420E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CUARTO</w:t>
      </w:r>
      <w:r w:rsidRPr="000234FF">
        <w:rPr>
          <w:rFonts w:cs="Arial"/>
          <w:sz w:val="24"/>
          <w:szCs w:val="24"/>
          <w:lang w:val="es-MX"/>
        </w:rPr>
        <w:t>. Que resulta necesario regular la revisión colegiada de los expedientes, el seguimiento de acuerdos y la rendición de cuentas, conservando la separación entre el análisis técnico, el dictamen jurídico, la autorización y el registro contable.</w:t>
      </w:r>
    </w:p>
    <w:p w14:paraId="6D857994" w14:textId="77777777" w:rsidR="000234FF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Por lo anterior, se expiden las siguientes</w:t>
      </w:r>
      <w:r w:rsidR="000234FF" w:rsidRPr="000234FF">
        <w:rPr>
          <w:rFonts w:cs="Arial"/>
          <w:sz w:val="24"/>
          <w:szCs w:val="24"/>
          <w:lang w:val="es-MX"/>
        </w:rPr>
        <w:t>:</w:t>
      </w:r>
    </w:p>
    <w:p w14:paraId="7EF653C5" w14:textId="77777777" w:rsidR="000234FF" w:rsidRPr="000234FF" w:rsidRDefault="000234FF" w:rsidP="000234FF">
      <w:pPr>
        <w:jc w:val="both"/>
        <w:rPr>
          <w:rFonts w:cs="Arial"/>
          <w:sz w:val="24"/>
          <w:szCs w:val="24"/>
          <w:lang w:val="es-MX"/>
        </w:rPr>
      </w:pPr>
    </w:p>
    <w:p w14:paraId="4B440C33" w14:textId="77777777" w:rsidR="000234FF" w:rsidRPr="000234FF" w:rsidRDefault="000234FF" w:rsidP="000234FF">
      <w:pPr>
        <w:jc w:val="center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NORMAS DE OPERACIÓN DEL COMITÉ DE DEPURACIÓN DE SALDOS Y CANCELACIÓN DE CUENTAS CONTABLES DE LA UNIVERSIDAD TECNOLÓGICA DEL VALLE DEL MEZQUITAL.</w:t>
      </w:r>
    </w:p>
    <w:p w14:paraId="2A894E34" w14:textId="77777777" w:rsidR="000234FF" w:rsidRPr="000234FF" w:rsidRDefault="000234FF" w:rsidP="000234FF">
      <w:pPr>
        <w:jc w:val="center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 xml:space="preserve">CAPÍTULO PRIMERO </w:t>
      </w:r>
    </w:p>
    <w:p w14:paraId="691B947E" w14:textId="77777777" w:rsidR="000234FF" w:rsidRDefault="000234FF" w:rsidP="000234FF">
      <w:pPr>
        <w:jc w:val="center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bCs/>
          <w:sz w:val="24"/>
          <w:szCs w:val="24"/>
          <w:lang w:val="es-MX"/>
        </w:rPr>
        <w:t>DISPOSICIONES GENERALES</w:t>
      </w:r>
    </w:p>
    <w:p w14:paraId="1191EDE8" w14:textId="77777777" w:rsidR="000234FF" w:rsidRDefault="00000000" w:rsidP="000234FF">
      <w:pPr>
        <w:jc w:val="both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1. </w:t>
      </w:r>
      <w:r w:rsidR="000234FF" w:rsidRPr="000234FF">
        <w:rPr>
          <w:rFonts w:cs="Arial"/>
          <w:bCs/>
          <w:sz w:val="24"/>
          <w:szCs w:val="24"/>
          <w:lang w:val="es-MX"/>
        </w:rPr>
        <w:t>Las presentes normas tienen por objeto r</w:t>
      </w:r>
      <w:r w:rsidRPr="000234FF">
        <w:rPr>
          <w:rFonts w:cs="Arial"/>
          <w:sz w:val="24"/>
          <w:szCs w:val="24"/>
          <w:lang w:val="es-MX"/>
        </w:rPr>
        <w:t>egular la integración, atribuciones, sesiones y seguimiento de acuerdos del Comité, para auxiliar en el análisis y depuración de saldos y en la revisión de propuestas de cancelación de adeudos a favor de la Universidad.</w:t>
      </w:r>
    </w:p>
    <w:p w14:paraId="798DC1FA" w14:textId="640F67AC" w:rsidR="0090557E" w:rsidRPr="000234FF" w:rsidRDefault="00000000" w:rsidP="000234FF">
      <w:pPr>
        <w:jc w:val="both"/>
        <w:rPr>
          <w:rFonts w:cs="Arial"/>
          <w:b/>
          <w:bCs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2. </w:t>
      </w:r>
      <w:r w:rsidR="000234FF" w:rsidRPr="000234FF">
        <w:rPr>
          <w:rFonts w:cs="Arial"/>
          <w:bCs/>
          <w:sz w:val="24"/>
          <w:szCs w:val="24"/>
          <w:lang w:val="es-MX"/>
        </w:rPr>
        <w:t>E</w:t>
      </w:r>
      <w:r w:rsidRPr="000234FF">
        <w:rPr>
          <w:rFonts w:cs="Arial"/>
          <w:sz w:val="24"/>
          <w:szCs w:val="24"/>
          <w:lang w:val="es-MX"/>
        </w:rPr>
        <w:t xml:space="preserve">stas Normas son obligatorias para quienes integren el Comité y para las áreas universitarias que intervengan en los asuntos sometidos a su conocimiento. Su aplicación se sujetará a la legislación aplicable, al Decreto de la Universidad, a su normativa orgánica vigente, a las disposiciones del CONAC y a las </w:t>
      </w:r>
      <w:r w:rsidR="00AA380F">
        <w:rPr>
          <w:rFonts w:cs="Arial"/>
          <w:sz w:val="24"/>
          <w:szCs w:val="24"/>
          <w:lang w:val="es-MX"/>
        </w:rPr>
        <w:t>N</w:t>
      </w:r>
      <w:r w:rsidR="00AA380F" w:rsidRPr="00AA380F">
        <w:rPr>
          <w:rFonts w:cs="Arial"/>
          <w:sz w:val="24"/>
          <w:szCs w:val="24"/>
          <w:lang w:val="es-MX"/>
        </w:rPr>
        <w:t>ormas y bases para cancelar adeudos a cargo de terceros y a favor de la Universidad</w:t>
      </w:r>
      <w:r w:rsidR="00AA380F">
        <w:rPr>
          <w:rFonts w:cs="Arial"/>
          <w:sz w:val="24"/>
          <w:szCs w:val="24"/>
          <w:lang w:val="es-MX"/>
        </w:rPr>
        <w:t>.</w:t>
      </w:r>
    </w:p>
    <w:p w14:paraId="4E578A95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lastRenderedPageBreak/>
        <w:t>Este instrumento no modifica los supuestos de incobrabilidad, los requisitos del expediente, las autoridades competentes ni las obligaciones de información establecidas en las Normas y Bases.</w:t>
      </w:r>
    </w:p>
    <w:p w14:paraId="0F6C4C3A" w14:textId="76753262" w:rsidR="0090557E" w:rsidRPr="00AA380F" w:rsidRDefault="00000000" w:rsidP="000234FF">
      <w:pPr>
        <w:keepNext/>
        <w:jc w:val="both"/>
        <w:rPr>
          <w:rFonts w:cs="Arial"/>
          <w:bCs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3. </w:t>
      </w:r>
      <w:r w:rsidR="00AA380F" w:rsidRPr="00AA380F">
        <w:rPr>
          <w:rFonts w:cs="Arial"/>
          <w:bCs/>
          <w:sz w:val="24"/>
          <w:szCs w:val="24"/>
          <w:lang w:val="es-MX"/>
        </w:rPr>
        <w:t>Para los efectos de estas Normas, se entenderá por:</w:t>
      </w:r>
    </w:p>
    <w:p w14:paraId="48B4F53B" w14:textId="68A1E77D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Comité: órgano auxiliar previsto en la Norma 18 de las Normas y Bases, denominado en este instrumento Comité de Depuración de Saldos y Cancelación de Cuentas Contables.</w:t>
      </w:r>
    </w:p>
    <w:p w14:paraId="6130C00F" w14:textId="6C71C280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Consejo Directivo: órgano de gobierno de la Universidad.</w:t>
      </w:r>
    </w:p>
    <w:p w14:paraId="2644E14F" w14:textId="1F8335CF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Dirección: Dirección de Administración y Finanzas.</w:t>
      </w:r>
    </w:p>
    <w:p w14:paraId="3B844FB8" w14:textId="4B9E8F5A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Área jurídica: persona titular de la Abogada o el Abogado General de la Universidad.</w:t>
      </w:r>
    </w:p>
    <w:p w14:paraId="5DF30C46" w14:textId="38E79138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Contabilidad: Departamento de Contabilidad.</w:t>
      </w:r>
    </w:p>
    <w:p w14:paraId="502ACFBE" w14:textId="3BB5E2BB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Normas y Bases: Acuerdo que contiene las Normas y Bases para Cancelar los Adeudos a Cargo de Terceras Personas y a Favor de la Universidad Tecnológica del Valle del Mezquital.</w:t>
      </w:r>
    </w:p>
    <w:p w14:paraId="15707E99" w14:textId="11A6F332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Opinión colegiada: pronunciamiento motivado del Comité sobre la integración del expediente y la propuesta presentada, que no sustituye el dictamen de incobrabilidad ni la autorización de cancelación.</w:t>
      </w:r>
    </w:p>
    <w:p w14:paraId="17B56D81" w14:textId="0725E90B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Dictamen de incobrabilidad: documento jurídico emitido por el área jurídica conforme a las Normas y Bases.</w:t>
      </w:r>
    </w:p>
    <w:p w14:paraId="2636B100" w14:textId="347E2AA1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Cancelación de saldo: baja contable de un adeudo individualizado, mediante el procedimiento aplicable; no implica eliminar una cuenta del catálogo contable.</w:t>
      </w:r>
    </w:p>
    <w:p w14:paraId="1B311D40" w14:textId="2AE861F4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Depuración: análisis, conciliación y aclaración de saldos para identificar su procedencia y tratamiento.</w:t>
      </w:r>
    </w:p>
    <w:p w14:paraId="463BE855" w14:textId="16C71A5A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UMA: Unidad de Medida y Actualización.</w:t>
      </w:r>
    </w:p>
    <w:p w14:paraId="034CD4AE" w14:textId="398502E2" w:rsidR="0090557E" w:rsidRPr="00AA380F" w:rsidRDefault="00000000" w:rsidP="00AA380F">
      <w:pPr>
        <w:pStyle w:val="Prrafodelista"/>
        <w:numPr>
          <w:ilvl w:val="0"/>
          <w:numId w:val="12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Universidad: Universidad Tecnológica del Valle del Mezquital.</w:t>
      </w:r>
    </w:p>
    <w:p w14:paraId="3587DBD9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Para los términos no definidos se aplicarán las definiciones de las Normas y Bases y de la normativa contable correspondiente.</w:t>
      </w:r>
    </w:p>
    <w:p w14:paraId="6C637106" w14:textId="1D87098D" w:rsidR="0090557E" w:rsidRPr="000234FF" w:rsidRDefault="00000000" w:rsidP="00AA380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4. </w:t>
      </w:r>
      <w:r w:rsidRPr="000234FF">
        <w:rPr>
          <w:rFonts w:cs="Arial"/>
          <w:sz w:val="24"/>
          <w:szCs w:val="24"/>
          <w:lang w:val="es-MX"/>
        </w:rPr>
        <w:t>Se establece el Comité como órgano auxiliar de la Universidad para los efectos de la Norma 18 de las Normas y Bases. Sus opiniones tienen carácter técnico y de apoyo; no le confieren atribuciones para condonar deudas, declarar la prescripción, extinguir obligaciones, determinar responsabilidades ni autorizar bajas patrimoniales.</w:t>
      </w:r>
    </w:p>
    <w:p w14:paraId="3DF3E7C5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cancelación contable no libera por sí misma al deudor de su obligación ni extingue derechos de terceros. Los efectos jurídicos del adeudo se determinarán conforme a la legislación y a las resoluciones competentes.</w:t>
      </w:r>
    </w:p>
    <w:p w14:paraId="5089E1C4" w14:textId="160A3D61" w:rsidR="0090557E" w:rsidRPr="000234FF" w:rsidRDefault="00000000" w:rsidP="00AA380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5. </w:t>
      </w:r>
      <w:r w:rsidRPr="000234FF">
        <w:rPr>
          <w:rFonts w:cs="Arial"/>
          <w:sz w:val="24"/>
          <w:szCs w:val="24"/>
          <w:lang w:val="es-MX"/>
        </w:rPr>
        <w:t>El Comité revisará expedientes de adeudos a favor de la Universidad comprendidos en las Normas y Bases. Podrá conocer informes de conciliación y de corrección de errores para formular recomendaciones a las áreas competentes.</w:t>
      </w:r>
    </w:p>
    <w:p w14:paraId="54A6FD16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Las cuentas por pagar, obligaciones laborales, fiscales y de seguridad social, provisiones, inventarios y bienes muebles, inmuebles e intangibles se regirán por sus procedimientos específicos. No podrán cancelarse mediante la declaración de incobrabilidad de un adeudo a favor de la Universidad. Las bajas y desincorporaciones patrimoniales requerirán las autorizaciones aplicables, independientemente de su registro contable.</w:t>
      </w:r>
    </w:p>
    <w:p w14:paraId="0E86703C" w14:textId="77777777" w:rsidR="00AA380F" w:rsidRDefault="00AA380F" w:rsidP="00AA380F">
      <w:pPr>
        <w:pStyle w:val="Ttulo1"/>
        <w:spacing w:before="0" w:after="0" w:line="240" w:lineRule="auto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lastRenderedPageBreak/>
        <w:t xml:space="preserve">CAPÍTULO SEGUNDO </w:t>
      </w:r>
    </w:p>
    <w:p w14:paraId="25480983" w14:textId="659E8CA5" w:rsidR="0090557E" w:rsidRPr="000234FF" w:rsidRDefault="00AA380F" w:rsidP="00AA380F">
      <w:pPr>
        <w:pStyle w:val="Ttulo1"/>
        <w:spacing w:before="0" w:after="0" w:line="240" w:lineRule="auto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INTEGRACIÓN Y ATRIBUCIONES</w:t>
      </w:r>
    </w:p>
    <w:p w14:paraId="6EE8AE8E" w14:textId="77777777" w:rsidR="00AA380F" w:rsidRDefault="00AA380F" w:rsidP="000234FF">
      <w:pPr>
        <w:keepNext/>
        <w:jc w:val="both"/>
        <w:rPr>
          <w:rFonts w:cs="Arial"/>
          <w:b/>
          <w:sz w:val="24"/>
          <w:szCs w:val="24"/>
          <w:lang w:val="es-MX"/>
        </w:rPr>
      </w:pPr>
    </w:p>
    <w:p w14:paraId="72BF14DF" w14:textId="397E0084" w:rsidR="0090557E" w:rsidRPr="000234FF" w:rsidRDefault="00000000" w:rsidP="00AA380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6. </w:t>
      </w:r>
      <w:r w:rsidRPr="000234FF">
        <w:rPr>
          <w:rFonts w:cs="Arial"/>
          <w:sz w:val="24"/>
          <w:szCs w:val="24"/>
          <w:lang w:val="es-MX"/>
        </w:rPr>
        <w:t>El Comité estará integrado por:</w:t>
      </w:r>
    </w:p>
    <w:p w14:paraId="2790AF5E" w14:textId="584C4671" w:rsidR="0090557E" w:rsidRPr="00AA380F" w:rsidRDefault="00000000" w:rsidP="00AA380F">
      <w:pPr>
        <w:pStyle w:val="Prrafodelista"/>
        <w:numPr>
          <w:ilvl w:val="0"/>
          <w:numId w:val="14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Presidencia: persona titular de la Dirección de Administración y Finanzas, con voz y voto.</w:t>
      </w:r>
    </w:p>
    <w:p w14:paraId="74A46277" w14:textId="3217E4B1" w:rsidR="0090557E" w:rsidRPr="00AA380F" w:rsidRDefault="00000000" w:rsidP="00AA380F">
      <w:pPr>
        <w:pStyle w:val="Prrafodelista"/>
        <w:numPr>
          <w:ilvl w:val="0"/>
          <w:numId w:val="14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Vocalías internas: personas titulares de la Subdirección de Administración, del área jurídica y del área de Planeación y Evaluación reconocida en la estructura autorizada, con voz y voto.</w:t>
      </w:r>
    </w:p>
    <w:p w14:paraId="61626DB5" w14:textId="09291A8E" w:rsidR="0090557E" w:rsidRPr="00AA380F" w:rsidRDefault="00000000" w:rsidP="00AA380F">
      <w:pPr>
        <w:pStyle w:val="Prrafodelista"/>
        <w:numPr>
          <w:ilvl w:val="0"/>
          <w:numId w:val="14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Representantes de las dependencias globalizadoras que deban participar conforme al artículo 7 de la Ley de Entidades Paraestatales del Estado de Hidalgo, con voz y voto, en el ámbito de su competencia y conforme a las designaciones comunicadas por dichas dependencias.</w:t>
      </w:r>
    </w:p>
    <w:p w14:paraId="1817A9F9" w14:textId="77CAEBCE" w:rsidR="0090557E" w:rsidRPr="00AA380F" w:rsidRDefault="00000000" w:rsidP="00AA380F">
      <w:pPr>
        <w:pStyle w:val="Prrafodelista"/>
        <w:numPr>
          <w:ilvl w:val="0"/>
          <w:numId w:val="14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Secretaría Técnica: persona titular del Departamento de Contabilidad, con voz y sin voto.</w:t>
      </w:r>
    </w:p>
    <w:p w14:paraId="5EE07A8A" w14:textId="717FC892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Secretaría de Contraloría ejercerá su función de vigilancia, por conducto de</w:t>
      </w:r>
      <w:r w:rsidR="00AA380F">
        <w:rPr>
          <w:rFonts w:cs="Arial"/>
          <w:sz w:val="24"/>
          <w:szCs w:val="24"/>
          <w:lang w:val="es-MX"/>
        </w:rPr>
        <w:t>l Titular</w:t>
      </w:r>
      <w:r w:rsidRPr="000234FF">
        <w:rPr>
          <w:rFonts w:cs="Arial"/>
          <w:sz w:val="24"/>
          <w:szCs w:val="24"/>
          <w:lang w:val="es-MX"/>
        </w:rPr>
        <w:t xml:space="preserve"> del Órgano Interno de Control conforme a sus atribuciones, sin integrarse como miembro decisor ni participar en las votaciones.</w:t>
      </w:r>
    </w:p>
    <w:p w14:paraId="64C9EC1A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Presidencia gestionará las designaciones externas por los conductos institucionales. El acta de instalación identificará a todas las personas integrantes y suplentes, su cargo, representación y derechos de participación. Los cargos serán honoríficos.</w:t>
      </w:r>
    </w:p>
    <w:p w14:paraId="3A949FEB" w14:textId="4C698C35" w:rsidR="0090557E" w:rsidRPr="000234FF" w:rsidRDefault="00000000" w:rsidP="00AA380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7. </w:t>
      </w:r>
      <w:r w:rsidRPr="000234FF">
        <w:rPr>
          <w:rFonts w:cs="Arial"/>
          <w:sz w:val="24"/>
          <w:szCs w:val="24"/>
          <w:lang w:val="es-MX"/>
        </w:rPr>
        <w:t>Las suplencias internas deberán designarse por escrito, dentro de la línea de competencia respectiva y con conocimiento de la Rectoría. Las dependencias externas designarán a sus suplentes conforme a sus propias disposiciones.</w:t>
      </w:r>
    </w:p>
    <w:p w14:paraId="72C7D688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suplencia en una sesión no sustituye las facultades legales para suscribir dictámenes, autorizar actos o ejercer atribuciones de los cargos universitarios. No se duplicará la representación ni el voto.</w:t>
      </w:r>
    </w:p>
    <w:p w14:paraId="777E0947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Podrán asistir personas invitadas con conocimientos relevantes, y titulares de las áreas de origen del adeudo, con voz y sin voto, únicamente en los asuntos para los que sean convocadas y con respeto a las reglas de confidencialidad.</w:t>
      </w:r>
    </w:p>
    <w:p w14:paraId="3936DBF5" w14:textId="18F8BC3B" w:rsidR="0090557E" w:rsidRPr="000234FF" w:rsidRDefault="00000000" w:rsidP="000234F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8. </w:t>
      </w:r>
      <w:r w:rsidR="00AA380F" w:rsidRPr="00AA380F">
        <w:rPr>
          <w:rFonts w:cs="Arial"/>
          <w:bCs/>
          <w:sz w:val="24"/>
          <w:szCs w:val="24"/>
          <w:lang w:val="es-MX"/>
        </w:rPr>
        <w:t>E</w:t>
      </w:r>
      <w:r w:rsidRPr="00AA380F">
        <w:rPr>
          <w:rFonts w:cs="Arial"/>
          <w:bCs/>
          <w:sz w:val="24"/>
          <w:szCs w:val="24"/>
          <w:lang w:val="es-MX"/>
        </w:rPr>
        <w:t>l Comité</w:t>
      </w:r>
      <w:r w:rsidR="00AA380F">
        <w:rPr>
          <w:rFonts w:cs="Arial"/>
          <w:bCs/>
          <w:sz w:val="24"/>
          <w:szCs w:val="24"/>
          <w:lang w:val="es-MX"/>
        </w:rPr>
        <w:t xml:space="preserve"> contará con las siguientes a</w:t>
      </w:r>
      <w:r w:rsidR="00AA380F" w:rsidRPr="00AA380F">
        <w:rPr>
          <w:rFonts w:cs="Arial"/>
          <w:bCs/>
          <w:sz w:val="24"/>
          <w:szCs w:val="24"/>
          <w:lang w:val="es-MX"/>
        </w:rPr>
        <w:t>tribuciones</w:t>
      </w:r>
      <w:r w:rsidR="00AA380F">
        <w:rPr>
          <w:rFonts w:cs="Arial"/>
          <w:bCs/>
          <w:sz w:val="24"/>
          <w:szCs w:val="24"/>
          <w:lang w:val="es-MX"/>
        </w:rPr>
        <w:t>:</w:t>
      </w:r>
    </w:p>
    <w:p w14:paraId="08A126E4" w14:textId="42076DE2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Revisar los informes de saldos y los expedientes presentados.</w:t>
      </w:r>
    </w:p>
    <w:p w14:paraId="295DA6FC" w14:textId="2C24ABE6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Verificar la identificación del adeudo, la conciliación del saldo y la evidencia de las gestiones de recuperación.</w:t>
      </w:r>
    </w:p>
    <w:p w14:paraId="08DBE732" w14:textId="346554AA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Formular opiniones colegiadas y solicitar información o aclaraciones.</w:t>
      </w:r>
    </w:p>
    <w:p w14:paraId="77410DE0" w14:textId="57A213E6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Verificar que las propuestas invoquen los supuestos de las Normas y Bases.</w:t>
      </w:r>
    </w:p>
    <w:p w14:paraId="15BE4ABB" w14:textId="0996F8A7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Recomendar la continuación de gestiones de cobro, la complementación del expediente o su remisión al procedimiento de cancelación.</w:t>
      </w:r>
    </w:p>
    <w:p w14:paraId="4045A141" w14:textId="4538FCEE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Dar seguimiento a sus acuerdos y a las medidas preventivas para evitar saldos sin aclarar.</w:t>
      </w:r>
    </w:p>
    <w:p w14:paraId="4A4812BB" w14:textId="17F46B6A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>Conocer informes de cancelaciones autorizadas y de recuperaciones posteriores.</w:t>
      </w:r>
    </w:p>
    <w:p w14:paraId="4A035AC9" w14:textId="0AA7A749" w:rsidR="0090557E" w:rsidRPr="00AA380F" w:rsidRDefault="00000000" w:rsidP="00AA380F">
      <w:pPr>
        <w:pStyle w:val="Prrafodelista"/>
        <w:numPr>
          <w:ilvl w:val="0"/>
          <w:numId w:val="16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lastRenderedPageBreak/>
        <w:t>Proponer al Consejo Directivo, por conducto de la Rectoría, mejoras a estas Normas.</w:t>
      </w:r>
    </w:p>
    <w:p w14:paraId="7DBEBC77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Las opiniones del Comité no sustituyen las actuaciones de las autoridades ni constituyen autorización de registro contable.</w:t>
      </w:r>
    </w:p>
    <w:p w14:paraId="25BE6468" w14:textId="77777777" w:rsidR="00AA380F" w:rsidRDefault="00000000" w:rsidP="00AA380F">
      <w:pPr>
        <w:keepNext/>
        <w:jc w:val="both"/>
        <w:rPr>
          <w:rFonts w:cs="Arial"/>
          <w:bCs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9. </w:t>
      </w:r>
      <w:r w:rsidR="00AA380F" w:rsidRPr="00AA380F">
        <w:rPr>
          <w:rFonts w:cs="Arial"/>
          <w:bCs/>
          <w:sz w:val="24"/>
          <w:szCs w:val="24"/>
          <w:lang w:val="es-MX"/>
        </w:rPr>
        <w:t>L</w:t>
      </w:r>
      <w:r w:rsidRPr="00AA380F">
        <w:rPr>
          <w:rFonts w:cs="Arial"/>
          <w:bCs/>
          <w:sz w:val="24"/>
          <w:szCs w:val="24"/>
          <w:lang w:val="es-MX"/>
        </w:rPr>
        <w:t>a Presidencia</w:t>
      </w:r>
      <w:r w:rsidR="00AA380F">
        <w:rPr>
          <w:rFonts w:cs="Arial"/>
          <w:bCs/>
          <w:sz w:val="24"/>
          <w:szCs w:val="24"/>
          <w:lang w:val="es-MX"/>
        </w:rPr>
        <w:t xml:space="preserve"> ejercerá las atribuciones:</w:t>
      </w:r>
    </w:p>
    <w:p w14:paraId="3346E9F3" w14:textId="3C2EDEB2" w:rsidR="00AA380F" w:rsidRDefault="00AA380F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>
        <w:rPr>
          <w:rFonts w:cs="Arial"/>
          <w:bCs/>
          <w:sz w:val="24"/>
          <w:szCs w:val="24"/>
          <w:lang w:val="es-MX"/>
        </w:rPr>
        <w:t>P</w:t>
      </w:r>
      <w:r w:rsidR="00000000" w:rsidRPr="00AA380F">
        <w:rPr>
          <w:rFonts w:cs="Arial"/>
          <w:sz w:val="24"/>
          <w:szCs w:val="24"/>
          <w:lang w:val="es-MX"/>
        </w:rPr>
        <w:t xml:space="preserve">roponer el calendario de sesiones; </w:t>
      </w:r>
    </w:p>
    <w:p w14:paraId="53EC98B5" w14:textId="77777777" w:rsidR="00AA380F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autorizar convocatorias; </w:t>
      </w:r>
    </w:p>
    <w:p w14:paraId="5F9D7145" w14:textId="77777777" w:rsidR="00AA380F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presidir las sesiones; </w:t>
      </w:r>
    </w:p>
    <w:p w14:paraId="045061BB" w14:textId="77777777" w:rsidR="00AA380F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verificar el quórum; </w:t>
      </w:r>
    </w:p>
    <w:p w14:paraId="1C6D7EF6" w14:textId="77777777" w:rsidR="00AA380F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conducir la deliberación y votación; </w:t>
      </w:r>
    </w:p>
    <w:p w14:paraId="00E5B5A5" w14:textId="77777777" w:rsidR="00AA380F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suscribir las actas; </w:t>
      </w:r>
    </w:p>
    <w:p w14:paraId="192137C5" w14:textId="77777777" w:rsidR="007E517C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solicitar información a las áreas; y </w:t>
      </w:r>
    </w:p>
    <w:p w14:paraId="06A745E3" w14:textId="77777777" w:rsidR="007E517C" w:rsidRDefault="00000000" w:rsidP="00AA380F">
      <w:pPr>
        <w:pStyle w:val="Prrafodelista"/>
        <w:keepNext/>
        <w:numPr>
          <w:ilvl w:val="0"/>
          <w:numId w:val="17"/>
        </w:numPr>
        <w:jc w:val="both"/>
        <w:rPr>
          <w:rFonts w:cs="Arial"/>
          <w:sz w:val="24"/>
          <w:szCs w:val="24"/>
          <w:lang w:val="es-MX"/>
        </w:rPr>
      </w:pPr>
      <w:r w:rsidRPr="00AA380F">
        <w:rPr>
          <w:rFonts w:cs="Arial"/>
          <w:sz w:val="24"/>
          <w:szCs w:val="24"/>
          <w:lang w:val="es-MX"/>
        </w:rPr>
        <w:t xml:space="preserve">remitir las opiniones a la Rectoría o al área competente. </w:t>
      </w:r>
    </w:p>
    <w:p w14:paraId="557453FD" w14:textId="5A30DB26" w:rsidR="0090557E" w:rsidRPr="007E517C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>La Presidencia verificará que las acciones recomendadas respeten los plazos de recuperación y el procedimiento de las Normas y Bases.</w:t>
      </w:r>
    </w:p>
    <w:p w14:paraId="474EA461" w14:textId="77777777" w:rsidR="007E517C" w:rsidRDefault="00000000" w:rsidP="00AA380F">
      <w:pPr>
        <w:keepNext/>
        <w:jc w:val="both"/>
        <w:rPr>
          <w:rFonts w:cs="Arial"/>
          <w:bCs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10. </w:t>
      </w:r>
      <w:r w:rsidR="00AA380F" w:rsidRPr="00AA380F">
        <w:rPr>
          <w:rFonts w:cs="Arial"/>
          <w:bCs/>
          <w:sz w:val="24"/>
          <w:szCs w:val="24"/>
          <w:lang w:val="es-MX"/>
        </w:rPr>
        <w:t>L</w:t>
      </w:r>
      <w:r w:rsidRPr="00AA380F">
        <w:rPr>
          <w:rFonts w:cs="Arial"/>
          <w:bCs/>
          <w:sz w:val="24"/>
          <w:szCs w:val="24"/>
          <w:lang w:val="es-MX"/>
        </w:rPr>
        <w:t>a Secretaría Técnica</w:t>
      </w:r>
      <w:r w:rsidR="00AA380F">
        <w:rPr>
          <w:rFonts w:cs="Arial"/>
          <w:bCs/>
          <w:sz w:val="24"/>
          <w:szCs w:val="24"/>
          <w:lang w:val="es-MX"/>
        </w:rPr>
        <w:t xml:space="preserve"> deberá</w:t>
      </w:r>
      <w:r w:rsidR="007E517C">
        <w:rPr>
          <w:rFonts w:cs="Arial"/>
          <w:bCs/>
          <w:sz w:val="24"/>
          <w:szCs w:val="24"/>
          <w:lang w:val="es-MX"/>
        </w:rPr>
        <w:t>:</w:t>
      </w:r>
    </w:p>
    <w:p w14:paraId="10EF9891" w14:textId="77777777" w:rsidR="007E517C" w:rsidRDefault="007E517C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>
        <w:rPr>
          <w:rFonts w:cs="Arial"/>
          <w:sz w:val="24"/>
          <w:szCs w:val="24"/>
          <w:lang w:val="es-MX"/>
        </w:rPr>
        <w:t>P</w:t>
      </w:r>
      <w:r w:rsidR="00000000" w:rsidRPr="007E517C">
        <w:rPr>
          <w:rFonts w:cs="Arial"/>
          <w:sz w:val="24"/>
          <w:szCs w:val="24"/>
          <w:lang w:val="es-MX"/>
        </w:rPr>
        <w:t xml:space="preserve">reparar convocatorias y carpetas; </w:t>
      </w:r>
    </w:p>
    <w:p w14:paraId="28E3277D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llevar el registro de asistencia y de impedimentos; </w:t>
      </w:r>
    </w:p>
    <w:p w14:paraId="0CBE09D5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elaborar las actas y opiniones; </w:t>
      </w:r>
    </w:p>
    <w:p w14:paraId="1D32CB6F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asignar folios; </w:t>
      </w:r>
    </w:p>
    <w:p w14:paraId="5DA78D79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mantener el control de acuerdos, responsables y plazos; </w:t>
      </w:r>
    </w:p>
    <w:p w14:paraId="01771832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conservar la documentación del Comité; y </w:t>
      </w:r>
    </w:p>
    <w:p w14:paraId="68E1ADF1" w14:textId="77777777" w:rsidR="007E517C" w:rsidRDefault="00000000" w:rsidP="007E517C">
      <w:pPr>
        <w:pStyle w:val="Prrafodelista"/>
        <w:keepNext/>
        <w:numPr>
          <w:ilvl w:val="0"/>
          <w:numId w:val="18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presentar informes de seguimiento. </w:t>
      </w:r>
    </w:p>
    <w:p w14:paraId="6D286DE9" w14:textId="50E7D4F5" w:rsidR="0090557E" w:rsidRPr="007E517C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>La integración de los expedientes contables se realizará bajo la responsabilidad y coordinación de la Dirección, conforme a las Normas y Bases.</w:t>
      </w:r>
    </w:p>
    <w:p w14:paraId="430D6DF8" w14:textId="5DB8760D" w:rsidR="0090557E" w:rsidRPr="000234FF" w:rsidRDefault="00000000" w:rsidP="000234FF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11. </w:t>
      </w:r>
      <w:r w:rsidR="007E517C" w:rsidRPr="007E517C">
        <w:rPr>
          <w:rFonts w:cs="Arial"/>
          <w:bCs/>
          <w:sz w:val="24"/>
          <w:szCs w:val="24"/>
          <w:lang w:val="es-MX"/>
        </w:rPr>
        <w:t>L</w:t>
      </w:r>
      <w:r w:rsidRPr="007E517C">
        <w:rPr>
          <w:rFonts w:cs="Arial"/>
          <w:bCs/>
          <w:sz w:val="24"/>
          <w:szCs w:val="24"/>
          <w:lang w:val="es-MX"/>
        </w:rPr>
        <w:t>as vocalías</w:t>
      </w:r>
      <w:r w:rsidR="007E517C" w:rsidRPr="007E517C">
        <w:rPr>
          <w:rFonts w:cs="Arial"/>
          <w:bCs/>
          <w:sz w:val="24"/>
          <w:szCs w:val="24"/>
          <w:lang w:val="es-MX"/>
        </w:rPr>
        <w:t xml:space="preserve"> tendrán las siguientes</w:t>
      </w:r>
      <w:r w:rsidR="007E517C">
        <w:rPr>
          <w:rFonts w:cs="Arial"/>
          <w:b/>
          <w:sz w:val="24"/>
          <w:szCs w:val="24"/>
          <w:lang w:val="es-MX"/>
        </w:rPr>
        <w:t xml:space="preserve"> </w:t>
      </w:r>
      <w:r w:rsidR="007E517C">
        <w:rPr>
          <w:rFonts w:cs="Arial"/>
          <w:bCs/>
          <w:sz w:val="24"/>
          <w:szCs w:val="24"/>
          <w:lang w:val="es-MX"/>
        </w:rPr>
        <w:t>a</w:t>
      </w:r>
      <w:r w:rsidR="007E517C" w:rsidRPr="00AA380F">
        <w:rPr>
          <w:rFonts w:cs="Arial"/>
          <w:bCs/>
          <w:sz w:val="24"/>
          <w:szCs w:val="24"/>
          <w:lang w:val="es-MX"/>
        </w:rPr>
        <w:t>tribuciones</w:t>
      </w:r>
      <w:r w:rsidR="007E517C">
        <w:rPr>
          <w:rFonts w:cs="Arial"/>
          <w:bCs/>
          <w:sz w:val="24"/>
          <w:szCs w:val="24"/>
          <w:lang w:val="es-MX"/>
        </w:rPr>
        <w:t>:</w:t>
      </w:r>
    </w:p>
    <w:p w14:paraId="2E7FE7A7" w14:textId="77777777" w:rsidR="007E517C" w:rsidRDefault="00000000" w:rsidP="007E517C">
      <w:pPr>
        <w:pStyle w:val="Prrafodelista"/>
        <w:numPr>
          <w:ilvl w:val="0"/>
          <w:numId w:val="19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Analizar la información antes de cada sesión; </w:t>
      </w:r>
    </w:p>
    <w:p w14:paraId="5E3CE15D" w14:textId="77777777" w:rsidR="007E517C" w:rsidRDefault="00000000" w:rsidP="007E517C">
      <w:pPr>
        <w:pStyle w:val="Prrafodelista"/>
        <w:numPr>
          <w:ilvl w:val="0"/>
          <w:numId w:val="19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formular observaciones fundadas; </w:t>
      </w:r>
    </w:p>
    <w:p w14:paraId="4156C37B" w14:textId="77777777" w:rsidR="007E517C" w:rsidRDefault="00000000" w:rsidP="007E517C">
      <w:pPr>
        <w:pStyle w:val="Prrafodelista"/>
        <w:numPr>
          <w:ilvl w:val="0"/>
          <w:numId w:val="19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votar las opiniones; </w:t>
      </w:r>
    </w:p>
    <w:p w14:paraId="718671E2" w14:textId="77777777" w:rsidR="007E517C" w:rsidRDefault="00000000" w:rsidP="007E517C">
      <w:pPr>
        <w:pStyle w:val="Prrafodelista"/>
        <w:numPr>
          <w:ilvl w:val="0"/>
          <w:numId w:val="19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suscribir las actas; y </w:t>
      </w:r>
    </w:p>
    <w:p w14:paraId="2381DBE9" w14:textId="77777777" w:rsidR="007E517C" w:rsidRDefault="00000000" w:rsidP="007E517C">
      <w:pPr>
        <w:pStyle w:val="Prrafodelista"/>
        <w:numPr>
          <w:ilvl w:val="0"/>
          <w:numId w:val="19"/>
        </w:num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 xml:space="preserve">cumplir los acuerdos dentro de sus atribuciones. </w:t>
      </w:r>
    </w:p>
    <w:p w14:paraId="75409357" w14:textId="4DCBEE4D" w:rsidR="0090557E" w:rsidRPr="007E517C" w:rsidRDefault="00000000" w:rsidP="007E517C">
      <w:pPr>
        <w:jc w:val="both"/>
        <w:rPr>
          <w:rFonts w:cs="Arial"/>
          <w:sz w:val="24"/>
          <w:szCs w:val="24"/>
          <w:lang w:val="es-MX"/>
        </w:rPr>
      </w:pPr>
      <w:r w:rsidRPr="007E517C">
        <w:rPr>
          <w:rFonts w:cs="Arial"/>
          <w:sz w:val="24"/>
          <w:szCs w:val="24"/>
          <w:lang w:val="es-MX"/>
        </w:rPr>
        <w:t>El área jurídica conservará la responsabilidad exclusiva de emitir el dictamen de incobrabilidad previsto en las Normas y Bases. Cada área de origen deberá proporcionar la evidencia de las operaciones y de las gestiones a su cargo.</w:t>
      </w:r>
    </w:p>
    <w:p w14:paraId="378845AC" w14:textId="3C8BD4FB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lastRenderedPageBreak/>
        <w:t xml:space="preserve">Norma 12. </w:t>
      </w:r>
      <w:r w:rsidRPr="000234FF">
        <w:rPr>
          <w:rFonts w:cs="Arial"/>
          <w:sz w:val="24"/>
          <w:szCs w:val="24"/>
          <w:lang w:val="es-MX"/>
        </w:rPr>
        <w:t>Quien tenga un interés personal, familiar o de negocios, o un impedimento legal, deberá manifestarlo por escrito antes de conocer o deliberar el asunto y abstenerse de intervenir en su análisis y votación. La excusa y la ausencia durante el asunto constarán en el acta. La suplencia sólo procederá cuando la persona suplente no comparta el impedimento. Si no existe quórum suficiente, el asunto se diferirá y se gestionará la representación procedente; no se reducirá el quórum para resolverlo.</w:t>
      </w:r>
    </w:p>
    <w:p w14:paraId="61CC93B3" w14:textId="77777777" w:rsidR="007E517C" w:rsidRDefault="007E517C" w:rsidP="007E517C">
      <w:pPr>
        <w:pStyle w:val="Ttulo1"/>
        <w:spacing w:before="0" w:after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 xml:space="preserve">CAPÍTULO TERCERO </w:t>
      </w:r>
    </w:p>
    <w:p w14:paraId="01E5AA0F" w14:textId="330BABDA" w:rsidR="0090557E" w:rsidRDefault="007E517C" w:rsidP="007E517C">
      <w:pPr>
        <w:pStyle w:val="Ttulo1"/>
        <w:spacing w:before="0" w:after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SESIONES Y ACUERDOS</w:t>
      </w:r>
    </w:p>
    <w:p w14:paraId="0A55EEA7" w14:textId="799936FF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13. </w:t>
      </w:r>
      <w:r w:rsidRPr="000234FF">
        <w:rPr>
          <w:rFonts w:cs="Arial"/>
          <w:sz w:val="24"/>
          <w:szCs w:val="24"/>
          <w:lang w:val="es-MX"/>
        </w:rPr>
        <w:t>El Comité celebrará sesiones ordinarias trimestrales conforme a su calendario y extraordinarias cuando la atención de un asunto lo requiera. En la primera sesión ordinaria del año conocerá el informe de antigüedad de saldos y el programa de revisión. La revisión colegiada no suspende las gestiones de cobro ni los plazos legales.</w:t>
      </w:r>
    </w:p>
    <w:p w14:paraId="339355F7" w14:textId="6DA90BEE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14. </w:t>
      </w:r>
      <w:r w:rsidRPr="000234FF">
        <w:rPr>
          <w:rFonts w:cs="Arial"/>
          <w:sz w:val="24"/>
          <w:szCs w:val="24"/>
          <w:lang w:val="es-MX"/>
        </w:rPr>
        <w:t xml:space="preserve">La convocatoria, el orden del día y la carpeta completa se enviarán con al menos </w:t>
      </w:r>
      <w:r w:rsidR="007E517C">
        <w:rPr>
          <w:rFonts w:cs="Arial"/>
          <w:sz w:val="24"/>
          <w:szCs w:val="24"/>
          <w:lang w:val="es-MX"/>
        </w:rPr>
        <w:t>cinco</w:t>
      </w:r>
      <w:r w:rsidRPr="000234FF">
        <w:rPr>
          <w:rFonts w:cs="Arial"/>
          <w:sz w:val="24"/>
          <w:szCs w:val="24"/>
          <w:lang w:val="es-MX"/>
        </w:rPr>
        <w:t xml:space="preserve"> días hábiles de anticipación para sesiones ordinarias y </w:t>
      </w:r>
      <w:r w:rsidR="007E517C">
        <w:rPr>
          <w:rFonts w:cs="Arial"/>
          <w:sz w:val="24"/>
          <w:szCs w:val="24"/>
          <w:lang w:val="es-MX"/>
        </w:rPr>
        <w:t>dos</w:t>
      </w:r>
      <w:r w:rsidRPr="000234FF">
        <w:rPr>
          <w:rFonts w:cs="Arial"/>
          <w:sz w:val="24"/>
          <w:szCs w:val="24"/>
          <w:lang w:val="es-MX"/>
        </w:rPr>
        <w:t xml:space="preserve"> días hábiles para extraordinarias, o con el plazo mayor que establezcan las disposiciones aplicables. Se conservará evidencia de recepción.</w:t>
      </w:r>
    </w:p>
    <w:p w14:paraId="3655B55B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carpeta incluirá informes, identificación de expedientes, proyectos de opinión y documentación suficiente para deliberar. El acceso a datos personales se limitará a lo necesario para el ejercicio de las atribuciones. No se resolverán cancelaciones ni expedientes no incluidos en el orden del día; los asuntos generales tendrán carácter informativo.</w:t>
      </w:r>
    </w:p>
    <w:p w14:paraId="59F216F4" w14:textId="4F08A607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15. </w:t>
      </w:r>
      <w:r w:rsidRPr="000234FF">
        <w:rPr>
          <w:rFonts w:cs="Arial"/>
          <w:sz w:val="24"/>
          <w:szCs w:val="24"/>
          <w:lang w:val="es-MX"/>
        </w:rPr>
        <w:t>Existirá quórum con la asistencia de la Presidencia o de su suplencia acreditada y de más de la mitad de las personas integrantes con derecho a voto. Las opiniones se adoptarán por mayoría simple de las personas con voto presentes y habilitadas para el asunto. En caso de empate se diferirá el pronunciamiento para obtener elementos adicionales.</w:t>
      </w:r>
    </w:p>
    <w:p w14:paraId="37677B83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No se computarán como integrantes con voto la Secretaría Técnica, las personas invitadas ni los órganos de vigilancia. Los votos en contra y sus razones se asentarán en el acta. Ninguna votación dispensará un requisito documental o una autorización legal.</w:t>
      </w:r>
    </w:p>
    <w:p w14:paraId="72CA74AC" w14:textId="493A0A0F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16. </w:t>
      </w:r>
      <w:r w:rsidRPr="000234FF">
        <w:rPr>
          <w:rFonts w:cs="Arial"/>
          <w:sz w:val="24"/>
          <w:szCs w:val="24"/>
          <w:lang w:val="es-MX"/>
        </w:rPr>
        <w:t>Las sesiones podrán ser presenciales, a distancia o mixtas, siempre que existan medios institucionales que permitan identificar a participantes, deliberar en tiempo real, verificar el quórum y registrar el sentido de los votos. La Secretaría Técnica conservará la evidencia de participación y las firmas o mecanismos de autenticación admitidos por la normativa aplicable. Los expedientes se protegerán durante su transmisión y consulta.</w:t>
      </w:r>
    </w:p>
    <w:p w14:paraId="5F3FC7FD" w14:textId="7B073A02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17. </w:t>
      </w:r>
      <w:r w:rsidRPr="000234FF">
        <w:rPr>
          <w:rFonts w:cs="Arial"/>
          <w:sz w:val="24"/>
          <w:szCs w:val="24"/>
          <w:lang w:val="es-MX"/>
        </w:rPr>
        <w:t>Las actas contendrán fecha, modalidad, asistentes, quórum, orden del día, resumen de deliberación, impedimentos, votaciones, opiniones, acuerdos, responsables y plazos. Se anexarán los documentos analizados y las opiniones disidentes.</w:t>
      </w:r>
    </w:p>
    <w:p w14:paraId="2CE824DB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 xml:space="preserve">La Secretaría Técnica circulará el proyecto de acta dentro de los cinco días hábiles siguientes y recabará las firmas dentro de los diez días hábiles posteriores a su circulación. La falta de firma se documentará sin presumir conformidad. El acta no sustituye la </w:t>
      </w:r>
      <w:r w:rsidRPr="000234FF">
        <w:rPr>
          <w:rFonts w:cs="Arial"/>
          <w:sz w:val="24"/>
          <w:szCs w:val="24"/>
          <w:lang w:val="es-MX"/>
        </w:rPr>
        <w:lastRenderedPageBreak/>
        <w:t>autorización de la Rectoría ni el acta específica de depuración y cancelación exigida por las Normas y Bases.</w:t>
      </w:r>
    </w:p>
    <w:p w14:paraId="350339AD" w14:textId="57C875B1" w:rsidR="007E517C" w:rsidRDefault="007E517C" w:rsidP="007E517C">
      <w:pPr>
        <w:pStyle w:val="Ttulo1"/>
        <w:spacing w:before="0" w:after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CAPÍTULO CUARTO</w:t>
      </w:r>
    </w:p>
    <w:p w14:paraId="60DAA745" w14:textId="7F31CFF0" w:rsidR="0090557E" w:rsidRPr="000234FF" w:rsidRDefault="007E517C" w:rsidP="007E517C">
      <w:pPr>
        <w:pStyle w:val="Ttulo1"/>
        <w:spacing w:before="0" w:after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REVISIÓN DE EXPEDIENTES</w:t>
      </w:r>
    </w:p>
    <w:p w14:paraId="776BF12A" w14:textId="578A2035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18. </w:t>
      </w:r>
      <w:r w:rsidR="007E517C" w:rsidRPr="007E517C">
        <w:rPr>
          <w:rFonts w:cs="Arial"/>
          <w:bCs/>
          <w:sz w:val="24"/>
          <w:szCs w:val="24"/>
          <w:lang w:val="es-MX"/>
        </w:rPr>
        <w:t>El Departamento de Contabilidad</w:t>
      </w:r>
      <w:r w:rsidR="007E517C">
        <w:rPr>
          <w:rFonts w:cs="Arial"/>
          <w:b/>
          <w:sz w:val="24"/>
          <w:szCs w:val="24"/>
          <w:lang w:val="es-MX"/>
        </w:rPr>
        <w:t xml:space="preserve"> </w:t>
      </w:r>
      <w:r w:rsidRPr="000234FF">
        <w:rPr>
          <w:rFonts w:cs="Arial"/>
          <w:sz w:val="24"/>
          <w:szCs w:val="24"/>
          <w:lang w:val="es-MX"/>
        </w:rPr>
        <w:t>elaborará, bajo coordinación de la Dirección, la relación de saldos susceptibles de revisión, con identificación del deudor, cuenta y auxiliar, origen, monto, fecha de vencimiento, antigüedad, fuente de recursos y estado de recuperación. El saldo se conciliará con las áreas de origen y, cuando proceda, con la contraparte.</w:t>
      </w:r>
    </w:p>
    <w:p w14:paraId="030FC74E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antigüedad, la falta de movimientos o la mera ausencia de documentos no acreditan automáticamente la incobrabilidad.</w:t>
      </w:r>
    </w:p>
    <w:p w14:paraId="1927A64F" w14:textId="34F0CBC5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19. </w:t>
      </w:r>
      <w:r w:rsidRPr="000234FF">
        <w:rPr>
          <w:rFonts w:cs="Arial"/>
          <w:sz w:val="24"/>
          <w:szCs w:val="24"/>
          <w:lang w:val="es-MX"/>
        </w:rPr>
        <w:t xml:space="preserve">La Rectoría, la Dirección y el </w:t>
      </w:r>
      <w:r w:rsidR="007E517C">
        <w:rPr>
          <w:rFonts w:cs="Arial"/>
          <w:sz w:val="24"/>
          <w:szCs w:val="24"/>
          <w:lang w:val="es-MX"/>
        </w:rPr>
        <w:t>Á</w:t>
      </w:r>
      <w:r w:rsidRPr="000234FF">
        <w:rPr>
          <w:rFonts w:cs="Arial"/>
          <w:sz w:val="24"/>
          <w:szCs w:val="24"/>
          <w:lang w:val="es-MX"/>
        </w:rPr>
        <w:t>rea jurídica ejecutarán o promoverán las gestiones de recuperación que correspondan conforme a la Norma 10 de las Normas y Bases. Se documentarán requerimientos, notificaciones, convenios, garantías y acciones judiciales y extrajudiciales.</w:t>
      </w:r>
    </w:p>
    <w:p w14:paraId="2123D242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cuantía igual o inferior a 60 UMA no exime de gestionar y justificar la recuperación ni permite omitir el análisis de costo beneficio. El área jurídica identificará los plazos aplicables y las actuaciones necesarias para evitar la pérdida de acciones.</w:t>
      </w:r>
    </w:p>
    <w:p w14:paraId="746AD3D7" w14:textId="0F2D5198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20. </w:t>
      </w:r>
      <w:r w:rsidRPr="000234FF">
        <w:rPr>
          <w:rFonts w:cs="Arial"/>
          <w:sz w:val="24"/>
          <w:szCs w:val="24"/>
          <w:lang w:val="es-MX"/>
        </w:rPr>
        <w:t>El Comité aplicará por remisión los supuestos de las Normas 7 y 8 de las Normas y Bases, sin reclasificarlos ni añadir causales. La incosteabilidad se analizará conforme a la fracción II, inciso b), de la Norma 7: monto igual o inferior a 60 veces el valor diario de la UMA y evidencia de que las gestiones de cobro son más onerosas que el beneficio esperado.</w:t>
      </w:r>
    </w:p>
    <w:p w14:paraId="414DDC9C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El informe técnico identificará la fecha y valor de la UMA utilizados, los costos previsibles documentados, el monto recuperable y la comparación respectiva. Se identificarán los adeudos de un mismo deudor para evitar fraccionamientos artificiales; esta identificación no creará un criterio de exclusión distinto al previsto en las Normas y Bases.</w:t>
      </w:r>
    </w:p>
    <w:p w14:paraId="6315301A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El fallecimiento requerirá el análisis de la sucesión y de la insuficiencia de bienes en los términos de las Normas y Bases. La prescripción se sustentará en el dictamen jurídico y en la determinación de la instancia competente cuando ésta sea exigida. El Comité no declarará prescripción ni caducidad.</w:t>
      </w:r>
    </w:p>
    <w:p w14:paraId="2CD072BC" w14:textId="0BFB0D25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21. </w:t>
      </w:r>
      <w:r w:rsidRPr="000234FF">
        <w:rPr>
          <w:rFonts w:cs="Arial"/>
          <w:sz w:val="24"/>
          <w:szCs w:val="24"/>
          <w:lang w:val="es-MX"/>
        </w:rPr>
        <w:t>La Dirección será responsable de integrar el expediente con apoyo de Contabilidad y de las áreas de origen. Se reunirán los documentos exigidos por la Norma 12 de las Normas y Bases conforme se produzca cada actuación, conservando originales, copias certificadas o documentos electrónicos válidos de acuerdo con la legislación aplicable.</w:t>
      </w:r>
    </w:p>
    <w:p w14:paraId="53CE6E1D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Para la revisión inicial se presentarán al menos: folio e índice; identificación y conciliación del saldo; documentos de origen o constancias de búsqueda; evidencia de recuperación; informe técnico financiero; dictamen del área jurídica; y propuesta de tratamiento contable.</w:t>
      </w:r>
    </w:p>
    <w:p w14:paraId="316323E1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lastRenderedPageBreak/>
        <w:t>La opinión preventiva externa, el acta específica, la autorización y la póliza se incorporarán en las etapas correspondientes. Ninguna cancelación podrá ejecutarse mientras falte un requisito de las Normas y Bases. La opinión colegiada y la documentación del Comité serán soporte adicional.</w:t>
      </w:r>
    </w:p>
    <w:p w14:paraId="789D4ECE" w14:textId="1D021E48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22. </w:t>
      </w:r>
      <w:r w:rsidRPr="000234FF">
        <w:rPr>
          <w:rFonts w:cs="Arial"/>
          <w:sz w:val="24"/>
          <w:szCs w:val="24"/>
          <w:lang w:val="es-MX"/>
        </w:rPr>
        <w:t>Cuando no se localicen documentos de origen, la Dirección hará constar las búsquedas y las áreas consultadas, levantará el acta administrativa prevista en la Norma 12 de las Normas y Bases y dará vista inmediata al Órgano Interno de Control. El área jurídica analizará la aplicación del supuesto de improcedencia previsto en la Norma 7, fracción I, inciso a).</w:t>
      </w:r>
    </w:p>
    <w:p w14:paraId="45E5394F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falta de documentación no se subsanará con una opinión del Comité ni permitirá cancelar sin completar el procedimiento. Se identificarán las inconsistencias y medidas para mejorar los archivos y controles.</w:t>
      </w:r>
    </w:p>
    <w:p w14:paraId="4117277E" w14:textId="2B9D2666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23. </w:t>
      </w:r>
      <w:r w:rsidRPr="000234FF">
        <w:rPr>
          <w:rFonts w:cs="Arial"/>
          <w:sz w:val="24"/>
          <w:szCs w:val="24"/>
          <w:lang w:val="es-MX"/>
        </w:rPr>
        <w:t>El Comité emitirá opinión sobre la integración y consistencia del expediente. Podrá recomendar continuar el trámite, complementar la información, mantener las gestiones de cobro o remitir el asunto al procedimiento específico que corresponda.</w:t>
      </w:r>
    </w:p>
    <w:p w14:paraId="3052F05B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opinión identificará el expediente, saldo, causal invocada, evidencia, observaciones, votación y acciones pendientes. Si la opinión preventiva externa exige modificaciones sustantivas a lo analizado, la Dirección actualizará el expediente y lo presentará nuevamente al Comité antes de la autorización.</w:t>
      </w:r>
    </w:p>
    <w:p w14:paraId="1B124CEF" w14:textId="3DE75E3F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24. </w:t>
      </w:r>
      <w:r w:rsidRPr="000234FF">
        <w:rPr>
          <w:rFonts w:cs="Arial"/>
          <w:sz w:val="24"/>
          <w:szCs w:val="24"/>
          <w:lang w:val="es-MX"/>
        </w:rPr>
        <w:t>La Dirección remitirá el expediente a la persona titular de la Dirección Jurídica de la Secretaría de Contraloría para obtener la opinión preventiva escrita exigida por la Norma 13, fracción IV, de las Normas y Bases. Se incorporarán la solicitud, el acuse, la opinión y la atención de sus observaciones.</w:t>
      </w:r>
    </w:p>
    <w:p w14:paraId="281E1F1A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opinión del Comité y la intervención del Órgano Interno de Control no sustituyen esa actuación. El silencio o la falta de respuesta no se considerarán opinión favorable ni autorización para cancelar.</w:t>
      </w:r>
    </w:p>
    <w:p w14:paraId="49612414" w14:textId="4B16463B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25. </w:t>
      </w:r>
      <w:r w:rsidRPr="000234FF">
        <w:rPr>
          <w:rFonts w:cs="Arial"/>
          <w:sz w:val="24"/>
          <w:szCs w:val="24"/>
          <w:lang w:val="es-MX"/>
        </w:rPr>
        <w:t>Concluidas las etapas y reunidos los requisitos de las Normas y Bases, la persona titular de la Rectoría procederá conforme a su Norma 13, fracción V. Su determinación deberá constar por escrito e identificar el expediente, el adeudo, la causal, el monto y los documentos que la sustentan.</w:t>
      </w:r>
    </w:p>
    <w:p w14:paraId="2EB201DC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Se integrará el Acta de Depuración y Cancelación de Adeudos en el formato de las Normas y Bases, suscrita por las áreas competentes y bajo la vigilancia del Órgano Interno de Control en los términos de dicho instrumento. La opinión del Comité no reemplazará esa acta.</w:t>
      </w:r>
    </w:p>
    <w:p w14:paraId="7DFE32A7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El Consejo Directivo conservará sus atribuciones normativas y conocerá los informes previstos en las Normas y Bases. Sólo se someterán autorizaciones individuales a dicho Consejo cuando una disposición aplicable lo exija.</w:t>
      </w:r>
    </w:p>
    <w:p w14:paraId="1322A2A9" w14:textId="77777777" w:rsidR="007E517C" w:rsidRDefault="007E517C" w:rsidP="007E517C">
      <w:pPr>
        <w:pStyle w:val="Ttulo1"/>
        <w:spacing w:before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lastRenderedPageBreak/>
        <w:t xml:space="preserve">CAPÍTULO QUINTO </w:t>
      </w:r>
    </w:p>
    <w:p w14:paraId="1BEA39CA" w14:textId="71277E3B" w:rsidR="0090557E" w:rsidRPr="000234FF" w:rsidRDefault="007E517C" w:rsidP="007E517C">
      <w:pPr>
        <w:pStyle w:val="Ttulo1"/>
        <w:spacing w:before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REGISTRO Y CONTROL</w:t>
      </w:r>
    </w:p>
    <w:p w14:paraId="3AEB87B2" w14:textId="5B435484" w:rsidR="0090557E" w:rsidRPr="000234FF" w:rsidRDefault="00000000" w:rsidP="007E517C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26. </w:t>
      </w:r>
      <w:r w:rsidRPr="000234FF">
        <w:rPr>
          <w:rFonts w:cs="Arial"/>
          <w:sz w:val="24"/>
          <w:szCs w:val="24"/>
          <w:lang w:val="es-MX"/>
        </w:rPr>
        <w:t>La Dirección instruirá por escrito a Contabilidad para registrar la cancelación, conforme a la Norma 14 de las Normas y Bases. La póliza identificará la autorización, expediente, deudor, cuentas y auxiliares, importe, fecha y documentos justificativos.</w:t>
      </w:r>
    </w:p>
    <w:p w14:paraId="78C183DD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afectación se determinará conforme al Manual de Contabilidad Gubernamental, el catálogo autorizado y las disposiciones vigentes del CONAC, considerando las estimaciones existentes para evitar duplicar el gasto. No se impondrá una cuenta de gasto o de patrimonio para todos los casos. Se actualizarán auxiliares y se revelarán en las notas los efectos relevantes.</w:t>
      </w:r>
    </w:p>
    <w:p w14:paraId="3C6BC00F" w14:textId="4A298C3F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27. </w:t>
      </w:r>
      <w:r w:rsidRPr="000234FF">
        <w:rPr>
          <w:rFonts w:cs="Arial"/>
          <w:sz w:val="24"/>
          <w:szCs w:val="24"/>
          <w:lang w:val="es-MX"/>
        </w:rPr>
        <w:t>Los errores de registro y los cambios en estimaciones se analizarán separadamente de la incobrabilidad. Contabilidad documentará el origen del error, su periodo, materialidad, propuesta y efecto financiero; la Dirección tramitará la autorización por el área competente.</w:t>
      </w:r>
    </w:p>
    <w:p w14:paraId="0CB3D638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Las estimaciones para cuentas incobrables se sujetarán a las disposiciones del CONAC y a la aprobación de la Rectoría prevista en las Normas y Bases. La estimación no sustituye la autorización de cancelación ni acredita por sí sola su procedencia.</w:t>
      </w:r>
    </w:p>
    <w:p w14:paraId="7D64D474" w14:textId="1F5A7B2A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28. </w:t>
      </w:r>
      <w:r w:rsidRPr="000234FF">
        <w:rPr>
          <w:rFonts w:cs="Arial"/>
          <w:sz w:val="24"/>
          <w:szCs w:val="24"/>
          <w:lang w:val="es-MX"/>
        </w:rPr>
        <w:t>La Dirección y el área jurídica conservarán el control de los derechos subsistentes y de las posibilidades de recuperación. Toda recuperación posterior se documentará y registrará conforme a la normativa contable y presupuestaria aplicable, con referencia al expediente original. El Comité conocerá estas recuperaciones en su informe de seguimiento.</w:t>
      </w:r>
    </w:p>
    <w:p w14:paraId="0A12FC10" w14:textId="72B6B5CD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29. </w:t>
      </w:r>
      <w:r w:rsidRPr="000234FF">
        <w:rPr>
          <w:rFonts w:cs="Arial"/>
          <w:sz w:val="24"/>
          <w:szCs w:val="24"/>
          <w:lang w:val="es-MX"/>
        </w:rPr>
        <w:t>La Dirección, a través de Contabilidad, conservará los expedientes y su vinculación con las pólizas. La Secretaría Técnica resguardará convocatorias, actas, opiniones y control de acuerdos, mediante referencias que permitan relacionarlos con el expediente contable.</w:t>
      </w:r>
    </w:p>
    <w:p w14:paraId="155C9F39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conservación, transferencia y disposición documental se sujetarán a la normativa archivística y a los instrumentos de control archivístico de la Universidad. La cancelación no autoriza la destrucción del soporte. El acceso, la clasificación y las versiones públicas se determinarán conforme a la legislación de transparencia y protección de datos personales; no se presumirá la reserva de todo el expediente.</w:t>
      </w:r>
    </w:p>
    <w:p w14:paraId="38BCF074" w14:textId="77777777" w:rsidR="00157903" w:rsidRDefault="00157903" w:rsidP="00157903">
      <w:pPr>
        <w:pStyle w:val="Ttulo1"/>
        <w:spacing w:before="0" w:after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 xml:space="preserve">CAPÍTULO SEXTO </w:t>
      </w:r>
    </w:p>
    <w:p w14:paraId="1D550408" w14:textId="71DCA543" w:rsidR="0090557E" w:rsidRPr="000234FF" w:rsidRDefault="00157903" w:rsidP="00157903">
      <w:pPr>
        <w:pStyle w:val="Ttulo1"/>
        <w:spacing w:before="0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VIGILANCIA E INFORMACIÓN</w:t>
      </w:r>
    </w:p>
    <w:p w14:paraId="4AF6E59F" w14:textId="35EECFF9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30. </w:t>
      </w:r>
      <w:r w:rsidRPr="000234FF">
        <w:rPr>
          <w:rFonts w:cs="Arial"/>
          <w:sz w:val="24"/>
          <w:szCs w:val="24"/>
          <w:lang w:val="es-MX"/>
        </w:rPr>
        <w:t>El Órgano Interno de Control ejercerá las atribuciones de vigilancia, verificación y seguimiento que le correspondan. La cancelación, corrección o baja contable no exime de responsabilidades administrativas, civiles o penales ni impide la investigación de hechos.</w:t>
      </w:r>
    </w:p>
    <w:p w14:paraId="7CD3E138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 xml:space="preserve">Los hallazgos de posible daño patrimonial o irregularidad se comunicarán a la autoridad competente y se preservará la evidencia. La responsabilidad no será determinada ni descartada por el Comité. Los faltantes de bienes se tramitarán por su procedimiento </w:t>
      </w:r>
      <w:r w:rsidRPr="000234FF">
        <w:rPr>
          <w:rFonts w:cs="Arial"/>
          <w:sz w:val="24"/>
          <w:szCs w:val="24"/>
          <w:lang w:val="es-MX"/>
        </w:rPr>
        <w:lastRenderedPageBreak/>
        <w:t>específico, sin supeditar el registro de un hecho económico a una declaración general de inexistencia de responsabilidades.</w:t>
      </w:r>
    </w:p>
    <w:p w14:paraId="6E0C8009" w14:textId="1B42B073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31. </w:t>
      </w:r>
      <w:r w:rsidRPr="000234FF">
        <w:rPr>
          <w:rFonts w:cs="Arial"/>
          <w:sz w:val="24"/>
          <w:szCs w:val="24"/>
          <w:lang w:val="es-MX"/>
        </w:rPr>
        <w:t>La Dirección mantendrá el control estadístico de adeudos cancelados y presentará el informe anual a la Rectoría conforme a la Norma 17 de las Normas y Bases. El informe anual no sustituye la obligación de informar dentro del trimestre siguiente a la cancelación.</w:t>
      </w:r>
    </w:p>
    <w:p w14:paraId="7098BB93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 Rectoría informará al Consejo Directivo y a la dependencia coordinadora de sector para su comunicación a la Secretaría de Hacienda, conforme a la Norma 6 de las Normas y Bases, sin perjuicio de otros destinatarios exigidos por ley. La Secretaría Técnica dará seguimiento a los acuses.</w:t>
      </w:r>
    </w:p>
    <w:p w14:paraId="2E60DC3B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El informe identificará los expedientes, montos, causales, autorizaciones, registros, recuperaciones y asuntos pendientes, con las medidas de protección de datos que correspondan.</w:t>
      </w:r>
    </w:p>
    <w:p w14:paraId="39DCE1EE" w14:textId="1E70FD4A" w:rsidR="0090557E" w:rsidRPr="000234FF" w:rsidRDefault="00000000" w:rsidP="00157903">
      <w:pPr>
        <w:keepNext/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b/>
          <w:sz w:val="24"/>
          <w:szCs w:val="24"/>
          <w:lang w:val="es-MX"/>
        </w:rPr>
        <w:t xml:space="preserve">Norma 32. </w:t>
      </w:r>
      <w:r w:rsidRPr="000234FF">
        <w:rPr>
          <w:rFonts w:cs="Arial"/>
          <w:sz w:val="24"/>
          <w:szCs w:val="24"/>
          <w:lang w:val="es-MX"/>
        </w:rPr>
        <w:t>Las dudas de aplicación se formularán por escrito, con antecedentes y fundamento. La Dirección resolverá en el ámbito de la Norma 3 de las Normas y Bases, con opinión de</w:t>
      </w:r>
      <w:r w:rsidR="00157903">
        <w:rPr>
          <w:rFonts w:cs="Arial"/>
          <w:sz w:val="24"/>
          <w:szCs w:val="24"/>
          <w:lang w:val="es-MX"/>
        </w:rPr>
        <w:t>l á</w:t>
      </w:r>
      <w:r w:rsidR="00157903" w:rsidRPr="00157903">
        <w:rPr>
          <w:rFonts w:cs="Arial"/>
          <w:sz w:val="24"/>
          <w:szCs w:val="24"/>
          <w:lang w:val="es-MX"/>
        </w:rPr>
        <w:t>rea jurídica</w:t>
      </w:r>
      <w:r w:rsidRPr="000234FF">
        <w:rPr>
          <w:rFonts w:cs="Arial"/>
          <w:sz w:val="24"/>
          <w:szCs w:val="24"/>
          <w:lang w:val="es-MX"/>
        </w:rPr>
        <w:t xml:space="preserve"> y de las áreas involucradas. El Comité podrá formular recomendaciones sin modificar competencias ni crear causales de cancelación.</w:t>
      </w:r>
    </w:p>
    <w:p w14:paraId="69D44724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Las reformas de estas Normas se someterán al Consejo Directivo por conducto de la Rectoría y se tramitarán las validaciones y formalidades que resulten aplicables.</w:t>
      </w:r>
    </w:p>
    <w:p w14:paraId="0FBA2E8F" w14:textId="0E537985" w:rsidR="0090557E" w:rsidRPr="000234FF" w:rsidRDefault="00157903" w:rsidP="00157903">
      <w:pPr>
        <w:pStyle w:val="Ttulo1"/>
        <w:jc w:val="center"/>
        <w:rPr>
          <w:rFonts w:ascii="Arial" w:hAnsi="Arial" w:cs="Arial"/>
          <w:szCs w:val="24"/>
          <w:lang w:val="es-MX"/>
        </w:rPr>
      </w:pPr>
      <w:r w:rsidRPr="000234FF">
        <w:rPr>
          <w:rFonts w:ascii="Arial" w:hAnsi="Arial" w:cs="Arial"/>
          <w:szCs w:val="24"/>
          <w:lang w:val="es-MX"/>
        </w:rPr>
        <w:t>TRANSITORIOS</w:t>
      </w:r>
    </w:p>
    <w:p w14:paraId="7498EECD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PRIMERO</w:t>
      </w:r>
      <w:r w:rsidRPr="000234FF">
        <w:rPr>
          <w:rFonts w:cs="Arial"/>
          <w:sz w:val="24"/>
          <w:szCs w:val="24"/>
          <w:lang w:val="es-MX"/>
        </w:rPr>
        <w:t>. Estas Normas entrarán en vigor al día siguiente de su publicación en el Periódico Oficial del Estado de Hidalgo, siempre que las Normas y Bases se encuentren vigentes. Si su entrada en vigor fuere posterior, estas Normas surtirán efectos a partir de esa fecha.</w:t>
      </w:r>
    </w:p>
    <w:p w14:paraId="2A0E19EC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SEGUNDO</w:t>
      </w:r>
      <w:r w:rsidRPr="000234FF">
        <w:rPr>
          <w:rFonts w:cs="Arial"/>
          <w:sz w:val="24"/>
          <w:szCs w:val="24"/>
          <w:lang w:val="es-MX"/>
        </w:rPr>
        <w:t>. La Rectoría gestionará la instalación del Comité dentro de los treinta días hábiles siguientes a la entrada en vigor de estas Normas, previa acreditación de las representaciones exigibles.</w:t>
      </w:r>
    </w:p>
    <w:p w14:paraId="7A05387D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TERCERO</w:t>
      </w:r>
      <w:r w:rsidRPr="000234FF">
        <w:rPr>
          <w:rFonts w:cs="Arial"/>
          <w:sz w:val="24"/>
          <w:szCs w:val="24"/>
          <w:lang w:val="es-MX"/>
        </w:rPr>
        <w:t>. La Universidad tramitará la inscripción del instrumento en el Registro Público de Organismos Descentralizados del Estado de Hidalgo dentro del plazo que legalmente corresponda.</w:t>
      </w:r>
    </w:p>
    <w:p w14:paraId="355517BC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CUARTO</w:t>
      </w:r>
      <w:r w:rsidRPr="000234FF">
        <w:rPr>
          <w:rFonts w:cs="Arial"/>
          <w:sz w:val="24"/>
          <w:szCs w:val="24"/>
          <w:lang w:val="es-MX"/>
        </w:rPr>
        <w:t>. La Dirección elaborará los formatos auxiliares y el control de seguimiento dentro de los treinta días hábiles siguientes a la instalación del Comité. Los formatos no modificarán requisitos ni sustituirán los anexos de las Normas y Bases.</w:t>
      </w:r>
    </w:p>
    <w:p w14:paraId="1C7C58BF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QUINTO</w:t>
      </w:r>
      <w:r w:rsidRPr="000234FF">
        <w:rPr>
          <w:rFonts w:cs="Arial"/>
          <w:sz w:val="24"/>
          <w:szCs w:val="24"/>
          <w:lang w:val="es-MX"/>
        </w:rPr>
        <w:t>. Los expedientes pendientes serán revisados conforme al procedimiento vigente, sin autorizaciones generales ni convalidación automática de actuaciones anteriores, preservando los derechos y las resoluciones firmes que legalmente correspondan.</w:t>
      </w:r>
    </w:p>
    <w:p w14:paraId="69655BDE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157903">
        <w:rPr>
          <w:rFonts w:cs="Arial"/>
          <w:b/>
          <w:bCs/>
          <w:sz w:val="24"/>
          <w:szCs w:val="24"/>
          <w:lang w:val="es-MX"/>
        </w:rPr>
        <w:t>SEXTO</w:t>
      </w:r>
      <w:r w:rsidRPr="000234FF">
        <w:rPr>
          <w:rFonts w:cs="Arial"/>
          <w:sz w:val="24"/>
          <w:szCs w:val="24"/>
          <w:lang w:val="es-MX"/>
        </w:rPr>
        <w:t>. Se dejan sin efecto exclusivamente las disposiciones administrativas internas de igual o menor jerarquía que se opongan a estas Normas, dentro del ámbito de competencia del Consejo Directivo.</w:t>
      </w:r>
    </w:p>
    <w:p w14:paraId="70825499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lastRenderedPageBreak/>
        <w:t>Dado en el lugar y fecha de la sesión del Consejo Directivo en que se apruebe el presente instrumento.</w:t>
      </w:r>
    </w:p>
    <w:p w14:paraId="52F46293" w14:textId="77777777" w:rsidR="0090557E" w:rsidRPr="000234FF" w:rsidRDefault="00000000" w:rsidP="000234FF">
      <w:pPr>
        <w:jc w:val="both"/>
        <w:rPr>
          <w:rFonts w:cs="Arial"/>
          <w:sz w:val="24"/>
          <w:szCs w:val="24"/>
          <w:lang w:val="es-MX"/>
        </w:rPr>
      </w:pPr>
      <w:r w:rsidRPr="000234FF">
        <w:rPr>
          <w:rFonts w:cs="Arial"/>
          <w:sz w:val="24"/>
          <w:szCs w:val="24"/>
          <w:lang w:val="es-MX"/>
        </w:rPr>
        <w:t>Nombres, cargos y firmas de las personas integrantes del Consejo Directivo que intervengan en su aprobación.</w:t>
      </w:r>
    </w:p>
    <w:sectPr w:rsidR="0090557E" w:rsidRPr="000234FF" w:rsidSect="000234FF">
      <w:footerReference w:type="default" r:id="rId8"/>
      <w:pgSz w:w="12240" w:h="15840"/>
      <w:pgMar w:top="1152" w:right="1041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B638" w14:textId="77777777" w:rsidR="00171A79" w:rsidRDefault="00171A79">
      <w:pPr>
        <w:spacing w:after="0" w:line="240" w:lineRule="auto"/>
      </w:pPr>
      <w:r>
        <w:separator/>
      </w:r>
    </w:p>
  </w:endnote>
  <w:endnote w:type="continuationSeparator" w:id="0">
    <w:p w14:paraId="209ED294" w14:textId="77777777" w:rsidR="00171A79" w:rsidRDefault="00171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82D1C" w14:textId="77777777" w:rsidR="0090557E" w:rsidRDefault="00000000">
    <w:pPr>
      <w:pStyle w:val="Piedepgina"/>
      <w:jc w:val="right"/>
    </w:pPr>
    <w:r>
      <w:t xml:space="preserve">Página </w:t>
    </w:r>
    <w:r>
      <w:fldChar w:fldCharType="begin"/>
    </w:r>
    <w:r>
      <w:instrText>PAGE</w:instrText>
    </w:r>
    <w:r>
      <w:fldChar w:fldCharType="separate"/>
    </w:r>
    <w:r w:rsidR="000234F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78976" w14:textId="77777777" w:rsidR="00171A79" w:rsidRDefault="00171A79">
      <w:pPr>
        <w:spacing w:after="0" w:line="240" w:lineRule="auto"/>
      </w:pPr>
      <w:r>
        <w:separator/>
      </w:r>
    </w:p>
  </w:footnote>
  <w:footnote w:type="continuationSeparator" w:id="0">
    <w:p w14:paraId="54DB3728" w14:textId="77777777" w:rsidR="00171A79" w:rsidRDefault="00171A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0A6288"/>
    <w:multiLevelType w:val="hybridMultilevel"/>
    <w:tmpl w:val="9432D060"/>
    <w:lvl w:ilvl="0" w:tplc="0818C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3D69DC"/>
    <w:multiLevelType w:val="hybridMultilevel"/>
    <w:tmpl w:val="FAB8F91A"/>
    <w:lvl w:ilvl="0" w:tplc="0818C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81"/>
    <w:multiLevelType w:val="hybridMultilevel"/>
    <w:tmpl w:val="5882EDC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05834"/>
    <w:multiLevelType w:val="hybridMultilevel"/>
    <w:tmpl w:val="353808E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5E3365"/>
    <w:multiLevelType w:val="hybridMultilevel"/>
    <w:tmpl w:val="5B5A2026"/>
    <w:lvl w:ilvl="0" w:tplc="27289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264D34"/>
    <w:multiLevelType w:val="hybridMultilevel"/>
    <w:tmpl w:val="14EE427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779BF"/>
    <w:multiLevelType w:val="hybridMultilevel"/>
    <w:tmpl w:val="87E0239C"/>
    <w:lvl w:ilvl="0" w:tplc="1C347EE2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359B3"/>
    <w:multiLevelType w:val="hybridMultilevel"/>
    <w:tmpl w:val="FEE88D54"/>
    <w:lvl w:ilvl="0" w:tplc="080A0017">
      <w:start w:val="1"/>
      <w:numFmt w:val="lowerLetter"/>
      <w:lvlText w:val="%1)"/>
      <w:lvlJc w:val="left"/>
      <w:pPr>
        <w:ind w:left="792" w:hanging="360"/>
      </w:pPr>
    </w:lvl>
    <w:lvl w:ilvl="1" w:tplc="080A0019" w:tentative="1">
      <w:start w:val="1"/>
      <w:numFmt w:val="lowerLetter"/>
      <w:lvlText w:val="%2."/>
      <w:lvlJc w:val="left"/>
      <w:pPr>
        <w:ind w:left="1512" w:hanging="360"/>
      </w:pPr>
    </w:lvl>
    <w:lvl w:ilvl="2" w:tplc="080A001B" w:tentative="1">
      <w:start w:val="1"/>
      <w:numFmt w:val="lowerRoman"/>
      <w:lvlText w:val="%3."/>
      <w:lvlJc w:val="right"/>
      <w:pPr>
        <w:ind w:left="2232" w:hanging="180"/>
      </w:pPr>
    </w:lvl>
    <w:lvl w:ilvl="3" w:tplc="080A000F" w:tentative="1">
      <w:start w:val="1"/>
      <w:numFmt w:val="decimal"/>
      <w:lvlText w:val="%4."/>
      <w:lvlJc w:val="left"/>
      <w:pPr>
        <w:ind w:left="2952" w:hanging="360"/>
      </w:pPr>
    </w:lvl>
    <w:lvl w:ilvl="4" w:tplc="080A0019" w:tentative="1">
      <w:start w:val="1"/>
      <w:numFmt w:val="lowerLetter"/>
      <w:lvlText w:val="%5."/>
      <w:lvlJc w:val="left"/>
      <w:pPr>
        <w:ind w:left="3672" w:hanging="360"/>
      </w:pPr>
    </w:lvl>
    <w:lvl w:ilvl="5" w:tplc="080A001B" w:tentative="1">
      <w:start w:val="1"/>
      <w:numFmt w:val="lowerRoman"/>
      <w:lvlText w:val="%6."/>
      <w:lvlJc w:val="right"/>
      <w:pPr>
        <w:ind w:left="4392" w:hanging="180"/>
      </w:pPr>
    </w:lvl>
    <w:lvl w:ilvl="6" w:tplc="080A000F" w:tentative="1">
      <w:start w:val="1"/>
      <w:numFmt w:val="decimal"/>
      <w:lvlText w:val="%7."/>
      <w:lvlJc w:val="left"/>
      <w:pPr>
        <w:ind w:left="5112" w:hanging="360"/>
      </w:pPr>
    </w:lvl>
    <w:lvl w:ilvl="7" w:tplc="080A0019" w:tentative="1">
      <w:start w:val="1"/>
      <w:numFmt w:val="lowerLetter"/>
      <w:lvlText w:val="%8."/>
      <w:lvlJc w:val="left"/>
      <w:pPr>
        <w:ind w:left="5832" w:hanging="360"/>
      </w:pPr>
    </w:lvl>
    <w:lvl w:ilvl="8" w:tplc="08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7" w15:restartNumberingAfterBreak="0">
    <w:nsid w:val="6A48176F"/>
    <w:multiLevelType w:val="hybridMultilevel"/>
    <w:tmpl w:val="C96CB6CE"/>
    <w:lvl w:ilvl="0" w:tplc="0818C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B38B8"/>
    <w:multiLevelType w:val="hybridMultilevel"/>
    <w:tmpl w:val="360E1FC6"/>
    <w:lvl w:ilvl="0" w:tplc="1C347EE2">
      <w:start w:val="1"/>
      <w:numFmt w:val="upperRoman"/>
      <w:lvlText w:val="%1."/>
      <w:lvlJc w:val="left"/>
      <w:pPr>
        <w:ind w:left="72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3669537">
    <w:abstractNumId w:val="8"/>
  </w:num>
  <w:num w:numId="2" w16cid:durableId="1808544407">
    <w:abstractNumId w:val="6"/>
  </w:num>
  <w:num w:numId="3" w16cid:durableId="1740856849">
    <w:abstractNumId w:val="5"/>
  </w:num>
  <w:num w:numId="4" w16cid:durableId="716667441">
    <w:abstractNumId w:val="4"/>
  </w:num>
  <w:num w:numId="5" w16cid:durableId="841553008">
    <w:abstractNumId w:val="7"/>
  </w:num>
  <w:num w:numId="6" w16cid:durableId="153490661">
    <w:abstractNumId w:val="3"/>
  </w:num>
  <w:num w:numId="7" w16cid:durableId="129134583">
    <w:abstractNumId w:val="2"/>
  </w:num>
  <w:num w:numId="8" w16cid:durableId="169181050">
    <w:abstractNumId w:val="1"/>
  </w:num>
  <w:num w:numId="9" w16cid:durableId="41642243">
    <w:abstractNumId w:val="0"/>
  </w:num>
  <w:num w:numId="10" w16cid:durableId="735511860">
    <w:abstractNumId w:val="12"/>
  </w:num>
  <w:num w:numId="11" w16cid:durableId="1350183908">
    <w:abstractNumId w:val="13"/>
  </w:num>
  <w:num w:numId="12" w16cid:durableId="1835030812">
    <w:abstractNumId w:val="15"/>
  </w:num>
  <w:num w:numId="13" w16cid:durableId="360589300">
    <w:abstractNumId w:val="18"/>
  </w:num>
  <w:num w:numId="14" w16cid:durableId="1238981861">
    <w:abstractNumId w:val="10"/>
  </w:num>
  <w:num w:numId="15" w16cid:durableId="897017469">
    <w:abstractNumId w:val="9"/>
  </w:num>
  <w:num w:numId="16" w16cid:durableId="612442239">
    <w:abstractNumId w:val="17"/>
  </w:num>
  <w:num w:numId="17" w16cid:durableId="1677993875">
    <w:abstractNumId w:val="16"/>
  </w:num>
  <w:num w:numId="18" w16cid:durableId="169805824">
    <w:abstractNumId w:val="11"/>
  </w:num>
  <w:num w:numId="19" w16cid:durableId="9922178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34FF"/>
    <w:rsid w:val="00034616"/>
    <w:rsid w:val="0006063C"/>
    <w:rsid w:val="0015074B"/>
    <w:rsid w:val="00157903"/>
    <w:rsid w:val="00171A79"/>
    <w:rsid w:val="0029639D"/>
    <w:rsid w:val="00326F90"/>
    <w:rsid w:val="005257AD"/>
    <w:rsid w:val="007E517C"/>
    <w:rsid w:val="0090557E"/>
    <w:rsid w:val="00AA1D8D"/>
    <w:rsid w:val="00AA380F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7E8DEA"/>
  <w14:defaultImageDpi w14:val="300"/>
  <w15:docId w15:val="{7F7DA144-36BD-43EB-87B7-C856C223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3663</Words>
  <Characters>20150</Characters>
  <Application>Microsoft Office Word</Application>
  <DocSecurity>0</DocSecurity>
  <Lines>167</Lines>
  <Paragraphs>47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Normas de operación del Comité de Depuración de Saldos y Cancelación de Cuentas Contables de la Universidad Tecnológica del Valle del Mezquital</vt:lpstr>
      <vt:lpstr/>
    </vt:vector>
  </TitlesOfParts>
  <Manager/>
  <Company/>
  <LinksUpToDate>false</LinksUpToDate>
  <CharactersWithSpaces>23766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Normas de operación del Comité de Depuración de Saldos y Cancelación de Cuentas Contables de la Universidad Tecnológica del Valle del Mezquital</dc:title>
  <dc:subject/>
  <dc:creator>Universidad Tecnológica del Valle del Mezquital</dc:creator>
  <cp:keywords/>
  <dc:description>generated by python-docx</dc:description>
  <cp:lastModifiedBy>Ricardo Ríos Badillo</cp:lastModifiedBy>
  <cp:revision>2</cp:revision>
  <dcterms:created xsi:type="dcterms:W3CDTF">2013-12-23T23:15:00Z</dcterms:created>
  <dcterms:modified xsi:type="dcterms:W3CDTF">2026-10-01T17:47:00Z</dcterms:modified>
  <cp:category/>
</cp:coreProperties>
</file>